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C456D" w:rsidRDefault="00FC456D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О Е К Т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C456D" w:rsidRPr="005D1399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D1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5D13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</w:p>
    <w:p w:rsidR="00FC456D" w:rsidRPr="00343433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ослуги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ортодонтичної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стоматології</w:t>
      </w:r>
    </w:p>
    <w:p w:rsidR="00FC456D" w:rsidRPr="00EA540D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>у 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Pr="00EA540D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399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>»</w:t>
      </w: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Calibri" w:hAnsi="Calibri" w:cs="Calibri"/>
        </w:rPr>
      </w:pPr>
    </w:p>
    <w:p w:rsidR="00FC456D" w:rsidRPr="00EA540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EA54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до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підпункту 1 пункту «а», підпункту 2 пункту «б»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Закону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“</w:t>
      </w:r>
      <w:r w:rsidRPr="00054372">
        <w:rPr>
          <w:rFonts w:ascii="Times New Roman" w:hAnsi="Times New Roman" w:cs="Times New Roman"/>
          <w:sz w:val="28"/>
          <w:szCs w:val="28"/>
        </w:rPr>
        <w:t>Про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”, </w:t>
      </w:r>
      <w:r w:rsidRPr="0031656E"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татей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540D">
        <w:rPr>
          <w:rFonts w:ascii="Times New Roman" w:hAnsi="Times New Roman"/>
          <w:sz w:val="28"/>
          <w:szCs w:val="28"/>
        </w:rPr>
        <w:t xml:space="preserve">13 </w:t>
      </w:r>
      <w:r w:rsidRPr="0031656E">
        <w:rPr>
          <w:rFonts w:ascii="Times New Roman" w:hAnsi="Times New Roman"/>
          <w:sz w:val="28"/>
          <w:szCs w:val="28"/>
        </w:rPr>
        <w:t>Закону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«</w:t>
      </w:r>
      <w:r w:rsidRPr="0031656E">
        <w:rPr>
          <w:rFonts w:ascii="Times New Roman" w:hAnsi="Times New Roman"/>
          <w:sz w:val="28"/>
          <w:szCs w:val="28"/>
        </w:rPr>
        <w:t>Про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засади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у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сфері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господарської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1656E">
        <w:rPr>
          <w:rFonts w:ascii="Times New Roman" w:hAnsi="Times New Roman"/>
          <w:sz w:val="28"/>
          <w:szCs w:val="28"/>
        </w:rPr>
        <w:t>від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EA540D">
        <w:rPr>
          <w:rFonts w:ascii="Times New Roman" w:hAnsi="Times New Roman"/>
          <w:sz w:val="28"/>
          <w:szCs w:val="28"/>
        </w:rPr>
        <w:t xml:space="preserve">2003 </w:t>
      </w:r>
      <w:r w:rsidRPr="0031656E">
        <w:rPr>
          <w:rFonts w:ascii="Times New Roman" w:hAnsi="Times New Roman"/>
          <w:sz w:val="28"/>
          <w:szCs w:val="28"/>
        </w:rPr>
        <w:t>року</w:t>
      </w:r>
      <w:r w:rsidRPr="00EA540D">
        <w:rPr>
          <w:rFonts w:ascii="Times New Roman" w:hAnsi="Times New Roman"/>
          <w:sz w:val="28"/>
          <w:szCs w:val="28"/>
        </w:rPr>
        <w:t xml:space="preserve"> № 1160 – </w:t>
      </w:r>
      <w:r w:rsidRPr="008C187A">
        <w:rPr>
          <w:rFonts w:ascii="Times New Roman" w:hAnsi="Times New Roman"/>
          <w:sz w:val="28"/>
          <w:szCs w:val="28"/>
          <w:lang w:val="en-US"/>
        </w:rPr>
        <w:t>IV</w:t>
      </w:r>
      <w:r w:rsidRPr="00EA540D">
        <w:rPr>
          <w:rFonts w:ascii="Times New Roman" w:hAnsi="Times New Roman" w:cs="Times New Roman"/>
          <w:sz w:val="28"/>
          <w:szCs w:val="28"/>
        </w:rPr>
        <w:t xml:space="preserve">, </w:t>
      </w:r>
      <w:r w:rsidRPr="00054372">
        <w:rPr>
          <w:rFonts w:ascii="Times New Roman" w:hAnsi="Times New Roman" w:cs="Times New Roman"/>
          <w:sz w:val="28"/>
          <w:szCs w:val="28"/>
        </w:rPr>
        <w:t>постанови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17 </w:t>
      </w:r>
      <w:r w:rsidRPr="00054372">
        <w:rPr>
          <w:rFonts w:ascii="Times New Roman" w:hAnsi="Times New Roman" w:cs="Times New Roman"/>
          <w:sz w:val="28"/>
          <w:szCs w:val="28"/>
        </w:rPr>
        <w:t>вересня</w:t>
      </w:r>
      <w:r w:rsidRPr="00EA540D">
        <w:rPr>
          <w:rFonts w:ascii="Times New Roman" w:hAnsi="Times New Roman" w:cs="Times New Roman"/>
          <w:sz w:val="28"/>
          <w:szCs w:val="28"/>
        </w:rPr>
        <w:t xml:space="preserve"> 1996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EA540D">
        <w:rPr>
          <w:rFonts w:ascii="Times New Roman" w:hAnsi="Times New Roman" w:cs="Times New Roman"/>
          <w:sz w:val="28"/>
          <w:szCs w:val="28"/>
        </w:rPr>
        <w:t xml:space="preserve"> №1138 “</w:t>
      </w:r>
      <w:r w:rsidRPr="00054372">
        <w:rPr>
          <w:rFonts w:ascii="Times New Roman" w:hAnsi="Times New Roman" w:cs="Times New Roman"/>
          <w:sz w:val="28"/>
          <w:szCs w:val="28"/>
        </w:rPr>
        <w:t>Про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платних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в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і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закладах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здоров</w:t>
      </w:r>
      <w:r w:rsidRPr="00EA540D">
        <w:rPr>
          <w:rFonts w:ascii="Times New Roman" w:hAnsi="Times New Roman" w:cs="Times New Roman"/>
          <w:sz w:val="28"/>
          <w:szCs w:val="28"/>
        </w:rPr>
        <w:t>'</w:t>
      </w:r>
      <w:r w:rsidRPr="0005437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та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закладах</w:t>
      </w:r>
      <w:r w:rsidRPr="00EA540D">
        <w:rPr>
          <w:rFonts w:ascii="Times New Roman" w:hAnsi="Times New Roman" w:cs="Times New Roman"/>
          <w:sz w:val="28"/>
          <w:szCs w:val="28"/>
        </w:rPr>
        <w:t>” (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статутом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», </w:t>
      </w:r>
      <w:r w:rsidR="001C401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Прилуцької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(68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сесі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року</w:t>
      </w:r>
      <w:r w:rsidRPr="00EA540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Доповнення до Плану діяльності Прилуцької міської ради з підготовки проектів регуляторних актів на 2020 рік</w:t>
      </w:r>
      <w:r w:rsidRPr="00EA54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56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 w:rsidRPr="0031656E">
        <w:rPr>
          <w:rFonts w:ascii="Times New Roman" w:hAnsi="Times New Roman"/>
          <w:sz w:val="28"/>
          <w:szCs w:val="28"/>
        </w:rPr>
        <w:t>головного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лікаря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некомерційного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656E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стоматологічна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поліклініка</w:t>
      </w:r>
      <w:proofErr w:type="spellEnd"/>
      <w:r w:rsidRPr="00EA540D">
        <w:rPr>
          <w:rFonts w:ascii="Times New Roman" w:hAnsi="Times New Roman"/>
          <w:sz w:val="28"/>
          <w:szCs w:val="28"/>
        </w:rPr>
        <w:t xml:space="preserve">»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01 червня </w:t>
      </w:r>
      <w:r w:rsidRPr="00EA54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 року</w:t>
      </w:r>
      <w:r w:rsidRPr="00EA540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>60,</w:t>
      </w:r>
      <w:r w:rsidRPr="00EA54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A540D">
        <w:rPr>
          <w:rFonts w:ascii="Times New Roman" w:hAnsi="Times New Roman" w:cs="Times New Roman"/>
          <w:sz w:val="28"/>
          <w:szCs w:val="28"/>
        </w:rPr>
        <w:t xml:space="preserve"> </w:t>
      </w:r>
      <w:r w:rsidRPr="00054372">
        <w:rPr>
          <w:rFonts w:ascii="Times New Roman" w:hAnsi="Times New Roman" w:cs="Times New Roman"/>
          <w:sz w:val="28"/>
          <w:szCs w:val="28"/>
        </w:rPr>
        <w:t>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Pr="004C59AA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>1. Затвердити тарифи на платні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ортодонтичної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стоматології</w:t>
      </w:r>
      <w:r w:rsidR="001D3C3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ська стоматологічна поліклініка» 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C456D" w:rsidRPr="00054372" w:rsidRDefault="001C4019" w:rsidP="00FC456D">
      <w:pPr>
        <w:pStyle w:val="2"/>
        <w:spacing w:after="120" w:line="27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FC456D" w:rsidRPr="00054372">
        <w:rPr>
          <w:szCs w:val="28"/>
          <w:lang w:val="uk-UA"/>
        </w:rPr>
        <w:t>. </w:t>
      </w:r>
      <w:r w:rsidR="00FC456D">
        <w:rPr>
          <w:szCs w:val="28"/>
          <w:lang w:val="uk-UA"/>
        </w:rPr>
        <w:t>Дане</w:t>
      </w:r>
      <w:r w:rsidR="00FC456D" w:rsidRPr="00054372">
        <w:rPr>
          <w:szCs w:val="28"/>
          <w:lang w:val="uk-UA"/>
        </w:rPr>
        <w:t xml:space="preserve"> р</w:t>
      </w:r>
      <w:r w:rsidR="00FC456D">
        <w:rPr>
          <w:szCs w:val="28"/>
          <w:lang w:val="uk-UA"/>
        </w:rPr>
        <w:t>ішення набуває</w:t>
      </w:r>
      <w:r w:rsidR="00FC456D" w:rsidRPr="00054372">
        <w:rPr>
          <w:szCs w:val="28"/>
          <w:lang w:val="uk-UA"/>
        </w:rPr>
        <w:t xml:space="preserve"> чинності з дня його офіційного оп</w:t>
      </w:r>
      <w:r w:rsidR="00FC456D">
        <w:rPr>
          <w:szCs w:val="28"/>
          <w:lang w:val="uk-UA"/>
        </w:rPr>
        <w:t>рилюднення</w:t>
      </w:r>
      <w:r w:rsidR="00FC456D" w:rsidRPr="00054372">
        <w:rPr>
          <w:szCs w:val="28"/>
          <w:lang w:val="uk-UA"/>
        </w:rPr>
        <w:t xml:space="preserve">. </w:t>
      </w:r>
    </w:p>
    <w:p w:rsidR="00FC456D" w:rsidRDefault="001C401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56D" w:rsidRPr="00054372">
        <w:rPr>
          <w:rFonts w:ascii="Times New Roman" w:hAnsi="Times New Roman" w:cs="Times New Roman"/>
          <w:sz w:val="28"/>
          <w:szCs w:val="28"/>
        </w:rPr>
        <w:t>ради</w:t>
      </w:r>
      <w:r w:rsidR="00FC4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054372">
        <w:rPr>
          <w:rFonts w:ascii="Times New Roman" w:hAnsi="Times New Roman" w:cs="Times New Roman"/>
          <w:sz w:val="28"/>
          <w:szCs w:val="28"/>
        </w:rPr>
        <w:t xml:space="preserve"> ШКУРЕНКО</w:t>
      </w:r>
      <w:proofErr w:type="gram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FC456D" w:rsidRDefault="00FC456D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Default="00FC456D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Default="00FC456D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Default="00FC456D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Default="00FC456D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56D" w:rsidRPr="00054372" w:rsidRDefault="00FC456D" w:rsidP="00FC456D">
      <w:pPr>
        <w:autoSpaceDE w:val="0"/>
        <w:autoSpaceDN w:val="0"/>
        <w:adjustRightInd w:val="0"/>
        <w:spacing w:after="140"/>
        <w:ind w:firstLine="8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FC456D" w:rsidRPr="006C14C5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FC456D" w:rsidRPr="006C14C5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7F5D10">
      <w:pPr>
        <w:autoSpaceDE w:val="0"/>
        <w:autoSpaceDN w:val="0"/>
        <w:adjustRightInd w:val="0"/>
        <w:spacing w:after="140"/>
        <w:jc w:val="center"/>
        <w:rPr>
          <w:rFonts w:ascii="Calibri" w:hAnsi="Calibri" w:cs="Calibri"/>
        </w:rPr>
      </w:pPr>
    </w:p>
    <w:p w:rsidR="007F5D10" w:rsidRPr="006C14C5" w:rsidRDefault="007F5D10" w:rsidP="008E6B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</w:rPr>
        <w:br w:type="page"/>
      </w:r>
    </w:p>
    <w:p w:rsidR="00DF1BC5" w:rsidRPr="001E1EB8" w:rsidRDefault="00DF1BC5" w:rsidP="00DF1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DF1BC5" w:rsidRDefault="00DF1BC5" w:rsidP="00DF1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F5D1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7F5D10"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виконавчого комітету</w:t>
      </w:r>
    </w:p>
    <w:p w:rsidR="00DF1BC5" w:rsidRDefault="00DF1BC5" w:rsidP="00DF1B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1BC5" w:rsidRDefault="00DF1BC5" w:rsidP="001D588E">
      <w:pPr>
        <w:spacing w:after="0" w:line="240" w:lineRule="auto"/>
      </w:pPr>
      <w:r w:rsidRPr="007F5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588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D1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D5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88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C5" w:rsidRDefault="00DF1BC5" w:rsidP="00DF1BC5"/>
    <w:p w:rsidR="00DF1BC5" w:rsidRPr="00CC43AA" w:rsidRDefault="00DF1BC5" w:rsidP="00DF1B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58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АРИФИ</w:t>
      </w:r>
    </w:p>
    <w:p w:rsidR="00DF1BC5" w:rsidRPr="00F821E4" w:rsidRDefault="00DF1BC5" w:rsidP="00DF1B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1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821E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ортодонтичної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стоматології</w:t>
      </w:r>
    </w:p>
    <w:p w:rsidR="00DF1BC5" w:rsidRPr="00F821E4" w:rsidRDefault="00DF1BC5" w:rsidP="00DF1B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C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міська стоматологічна поліклініка»</w:t>
      </w:r>
    </w:p>
    <w:p w:rsidR="00DF1BC5" w:rsidRPr="00CC43AA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6436"/>
        <w:gridCol w:w="1713"/>
      </w:tblGrid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F2570A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6436" w:type="dxa"/>
          </w:tcPr>
          <w:p w:rsidR="00DF1BC5" w:rsidRPr="00F2570A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зва послуги</w:t>
            </w:r>
          </w:p>
        </w:tc>
        <w:tc>
          <w:tcPr>
            <w:tcW w:w="1713" w:type="dxa"/>
          </w:tcPr>
          <w:p w:rsidR="00DF1BC5" w:rsidRPr="00F2570A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7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 без ПДВ, грн.</w:t>
            </w:r>
          </w:p>
        </w:tc>
      </w:tr>
      <w:tr w:rsidR="00DF1BC5" w:rsidRPr="00CE4C0F" w:rsidTr="005028BC">
        <w:trPr>
          <w:trHeight w:val="19"/>
        </w:trPr>
        <w:tc>
          <w:tcPr>
            <w:tcW w:w="9445" w:type="dxa"/>
            <w:gridSpan w:val="3"/>
          </w:tcPr>
          <w:p w:rsidR="00DF1BC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1.Загальні види робіт</w:t>
            </w:r>
          </w:p>
          <w:p w:rsidR="001D3C3F" w:rsidRPr="007410F5" w:rsidRDefault="001D3C3F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Складання плану </w:t>
            </w: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ортодонтичного</w:t>
            </w:r>
            <w:proofErr w:type="spellEnd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лікування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Вибіркове</w:t>
            </w:r>
            <w:proofErr w:type="spellEnd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пришліфування</w:t>
            </w:r>
            <w:proofErr w:type="spellEnd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горбиків </w:t>
            </w: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зубів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Сепарація</w:t>
            </w:r>
            <w:proofErr w:type="spellEnd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зубів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Визначення центральної </w:t>
            </w:r>
            <w:proofErr w:type="spellStart"/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оклюзіїї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9445" w:type="dxa"/>
            <w:gridSpan w:val="3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 xml:space="preserve">2.Лікування за допомогою </w:t>
            </w:r>
            <w:proofErr w:type="spellStart"/>
            <w:r w:rsidRPr="007410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брекет</w:t>
            </w:r>
            <w:proofErr w:type="spellEnd"/>
            <w:r w:rsidRPr="007410F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-системи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Фіксація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брекет –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(брекет на 1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щелепу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50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5028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Припасування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здача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ортодонтичного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кільця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5028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Фіксація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дуги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Фіксація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реверсної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дуги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Фіксація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щітної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трубки на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моляри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448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закриваючої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пружини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Встановлення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розкриваючої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пружини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(см)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DF1BC5" w:rsidRPr="00CE4C0F" w:rsidTr="005028BC">
        <w:trPr>
          <w:trHeight w:val="698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Фіксація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незнімного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ретейнера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1 зуб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Заміна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стальної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гумової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лігатури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Заміна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гумового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кільця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одної ланки гумового ланцюжка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Зняття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брекету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Зняття </w:t>
            </w:r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кожного </w:t>
            </w: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наступного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брекету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Ремтерапiя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1498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36" w:type="dxa"/>
            <w:vAlign w:val="center"/>
          </w:tcPr>
          <w:p w:rsidR="00DF1BC5" w:rsidRPr="00C9796A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>Заміна</w:t>
            </w:r>
            <w:proofErr w:type="spellEnd"/>
            <w:r w:rsidRPr="00C979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одного брекета 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</w:t>
            </w:r>
          </w:p>
        </w:tc>
      </w:tr>
      <w:tr w:rsidR="00DF1BC5" w:rsidRPr="00CE4C0F" w:rsidTr="005028BC">
        <w:trPr>
          <w:trHeight w:val="19"/>
        </w:trPr>
        <w:tc>
          <w:tcPr>
            <w:tcW w:w="9445" w:type="dxa"/>
            <w:gridSpan w:val="3"/>
          </w:tcPr>
          <w:p w:rsidR="001D3C3F" w:rsidRPr="004B3845" w:rsidRDefault="00DF1BC5" w:rsidP="001D3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4B38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3.Ортодонтичні пластини і апарати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Діагностична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онтрольна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модель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базисна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ластинка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похилою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площиною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ластинка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розширююча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стандартним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гвинтом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626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4B384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ластинка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оклюзійними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накладками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Пластинка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похилою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накусочною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площиною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659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Пластинка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знімна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одним зубом 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746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Активатор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Андрезена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(без деталей та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кламерів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Апарат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Брюкля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без деталей</w:t>
            </w: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636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Активатор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Вундерера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з одним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ортодонтичним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гвинтом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Капа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Биніна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гнутий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ламер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перекидний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Кламер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стріловидний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Кламер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Адамса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Кламер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Адамса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відростками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щелепної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тяги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Дуга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вестибулярна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з 2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пружинячими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тлями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Дуга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вестибулярна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складна (з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тиском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на один зуб)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Дуга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вестибулярна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 складна з 4-6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додатковими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згинами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Штовхач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(пружина проста)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Пілот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пластмасовий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металевому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каркасі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губи,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щоки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язика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пластмасовий вітчизняного виробництва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 пластмасовий імпортного виробництва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Гвинт стандартний (установка)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гвинт (установка)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Перелом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пластини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переломи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Прикріплення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круглого гнутого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кламера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7410F5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Прикріплення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двух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круглих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гнутих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кламерів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Перебазування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ортодонтичного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апарата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Корекція (активація)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ортодонтичного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апарата або протеза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Ортодонтична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коронка сталева штампована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коронка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гачком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ртодонтична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коронка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штангою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DF1BC5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оронка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похилою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площиною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Катца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385,00</w:t>
            </w:r>
          </w:p>
        </w:tc>
      </w:tr>
      <w:tr w:rsidR="00DF1BC5" w:rsidRPr="00CE4C0F" w:rsidTr="005028BC">
        <w:trPr>
          <w:trHeight w:val="19"/>
        </w:trPr>
        <w:tc>
          <w:tcPr>
            <w:tcW w:w="9445" w:type="dxa"/>
            <w:gridSpan w:val="3"/>
          </w:tcPr>
          <w:p w:rsidR="001D3C3F" w:rsidRPr="004B3845" w:rsidRDefault="00DF1BC5" w:rsidP="001D3C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38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 xml:space="preserve">4.Додаткові роботи до незнімних </w:t>
            </w:r>
            <w:proofErr w:type="spellStart"/>
            <w:r w:rsidRPr="004B38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>ортодонтичних</w:t>
            </w:r>
            <w:proofErr w:type="spellEnd"/>
            <w:r w:rsidRPr="004B384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lang w:val="uk-UA"/>
              </w:rPr>
              <w:t xml:space="preserve"> апаратів, пластин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коронка з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трубкою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(коронка та зуб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стальний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Гачок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до коронки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танга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до коронки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Гачок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до дуги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танга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до дуги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Штовкач</w:t>
            </w:r>
            <w:proofErr w:type="spellEnd"/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ортодонтичної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коронки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DF1BC5" w:rsidRPr="00CE4C0F" w:rsidTr="005028BC">
        <w:trPr>
          <w:trHeight w:val="19"/>
        </w:trPr>
        <w:tc>
          <w:tcPr>
            <w:tcW w:w="1296" w:type="dxa"/>
          </w:tcPr>
          <w:p w:rsidR="00DF1BC5" w:rsidRPr="0097605A" w:rsidRDefault="001D3C3F" w:rsidP="00DF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436" w:type="dxa"/>
            <w:vAlign w:val="center"/>
          </w:tcPr>
          <w:p w:rsidR="00DF1BC5" w:rsidRPr="007410F5" w:rsidRDefault="00DF1BC5" w:rsidP="00DF1BC5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 xml:space="preserve"> дуги </w:t>
            </w:r>
            <w:proofErr w:type="spellStart"/>
            <w:r w:rsidRPr="007410F5">
              <w:rPr>
                <w:rFonts w:ascii="Times New Roman" w:hAnsi="Times New Roman" w:cs="Times New Roman"/>
                <w:sz w:val="28"/>
                <w:szCs w:val="28"/>
              </w:rPr>
              <w:t>Енгеля</w:t>
            </w:r>
            <w:proofErr w:type="spellEnd"/>
            <w:r w:rsidRPr="007410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коронок</w:t>
            </w:r>
          </w:p>
        </w:tc>
        <w:tc>
          <w:tcPr>
            <w:tcW w:w="1713" w:type="dxa"/>
            <w:vAlign w:val="center"/>
          </w:tcPr>
          <w:p w:rsidR="00DF1BC5" w:rsidRPr="007410F5" w:rsidRDefault="00DF1BC5" w:rsidP="00DF1B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</w:t>
            </w:r>
            <w:r w:rsidRPr="007410F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</w:tbl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DF1BC5" w:rsidRPr="007E0083" w:rsidRDefault="00DF1BC5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083">
        <w:rPr>
          <w:rFonts w:ascii="Times New Roman" w:hAnsi="Times New Roman" w:cs="Times New Roman"/>
          <w:b/>
          <w:sz w:val="24"/>
          <w:szCs w:val="24"/>
        </w:rPr>
        <w:t>Примітка</w:t>
      </w:r>
      <w:proofErr w:type="spellEnd"/>
      <w:r w:rsidRPr="007E00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F1BC5" w:rsidRPr="007E0083" w:rsidRDefault="00DF1BC5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E0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>.</w:t>
      </w:r>
    </w:p>
    <w:p w:rsidR="00DF1BC5" w:rsidRDefault="00DF1BC5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E008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медикаменти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енергоносії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змінені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>.</w:t>
      </w:r>
    </w:p>
    <w:p w:rsidR="00DF1BC5" w:rsidRPr="00C9796A" w:rsidRDefault="00DF1BC5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У тарифах даних послуг не врахована вартість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брекета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щічної трубки на моляри, стопора для дуг із загнутим гачком управо або уліво, гумового ланцюжка, гумового кільця, лігатур, дуг, закриваючої пружини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розкриваючої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пружини, гвинта стандартного, які оплачуються пацієнтом додатково за цінами останніх надходжень.</w:t>
      </w:r>
    </w:p>
    <w:p w:rsidR="00DF1BC5" w:rsidRPr="007E0083" w:rsidRDefault="00DF1BC5" w:rsidP="00DF1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E00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Податок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додану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7E008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0083">
        <w:rPr>
          <w:rFonts w:ascii="Times New Roman" w:hAnsi="Times New Roman" w:cs="Times New Roman"/>
          <w:sz w:val="24"/>
          <w:szCs w:val="24"/>
        </w:rPr>
        <w:t>.</w:t>
      </w:r>
    </w:p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DF1BC5" w:rsidRPr="00845A0B" w:rsidRDefault="00DF1BC5" w:rsidP="00DF1B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45A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Pr="00845A0B">
        <w:rPr>
          <w:rFonts w:ascii="Times New Roman" w:hAnsi="Times New Roman" w:cs="Times New Roman"/>
          <w:sz w:val="28"/>
          <w:szCs w:val="28"/>
          <w:lang w:val="uk-UA"/>
        </w:rPr>
        <w:t>С.В.Подружин</w:t>
      </w:r>
      <w:proofErr w:type="spellEnd"/>
    </w:p>
    <w:p w:rsidR="00DF1BC5" w:rsidRDefault="00DF1BC5" w:rsidP="00DF1BC5">
      <w:pPr>
        <w:spacing w:after="0"/>
        <w:rPr>
          <w:rFonts w:ascii="Book Antiqua" w:hAnsi="Book Antiqua"/>
          <w:b/>
          <w:sz w:val="28"/>
          <w:szCs w:val="28"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1E1EB8" w:rsidRDefault="005212EC" w:rsidP="005212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C43AA" w:rsidRDefault="00CC43AA" w:rsidP="007E0083">
      <w:pPr>
        <w:ind w:left="4248" w:firstLine="708"/>
        <w:jc w:val="center"/>
        <w:rPr>
          <w:b/>
          <w:lang w:val="uk-UA"/>
        </w:rPr>
      </w:pPr>
    </w:p>
    <w:p w:rsidR="00C20940" w:rsidRDefault="00C20940">
      <w:pPr>
        <w:rPr>
          <w:lang w:val="uk-UA"/>
        </w:rPr>
      </w:pPr>
    </w:p>
    <w:sectPr w:rsidR="00C20940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6C7A"/>
    <w:rsid w:val="00013379"/>
    <w:rsid w:val="000160AE"/>
    <w:rsid w:val="00044954"/>
    <w:rsid w:val="00054372"/>
    <w:rsid w:val="000723E6"/>
    <w:rsid w:val="00116A8F"/>
    <w:rsid w:val="00121123"/>
    <w:rsid w:val="0012369B"/>
    <w:rsid w:val="00160035"/>
    <w:rsid w:val="001C4019"/>
    <w:rsid w:val="001C6278"/>
    <w:rsid w:val="001D3C3F"/>
    <w:rsid w:val="001D588E"/>
    <w:rsid w:val="001E1EB8"/>
    <w:rsid w:val="00232D30"/>
    <w:rsid w:val="002438C0"/>
    <w:rsid w:val="002542AB"/>
    <w:rsid w:val="00275FF9"/>
    <w:rsid w:val="00277155"/>
    <w:rsid w:val="00283B98"/>
    <w:rsid w:val="00313D9A"/>
    <w:rsid w:val="0037557A"/>
    <w:rsid w:val="0038097B"/>
    <w:rsid w:val="003967EC"/>
    <w:rsid w:val="00397845"/>
    <w:rsid w:val="003A106A"/>
    <w:rsid w:val="003E6A4E"/>
    <w:rsid w:val="004739AC"/>
    <w:rsid w:val="004C2A0B"/>
    <w:rsid w:val="004C59AA"/>
    <w:rsid w:val="005212EC"/>
    <w:rsid w:val="005D1399"/>
    <w:rsid w:val="00647D38"/>
    <w:rsid w:val="006A5F7B"/>
    <w:rsid w:val="006C14C5"/>
    <w:rsid w:val="006D781E"/>
    <w:rsid w:val="006E24C7"/>
    <w:rsid w:val="00741CF8"/>
    <w:rsid w:val="00750E8C"/>
    <w:rsid w:val="007C2B35"/>
    <w:rsid w:val="007E0083"/>
    <w:rsid w:val="007F5D10"/>
    <w:rsid w:val="00832583"/>
    <w:rsid w:val="00845A0B"/>
    <w:rsid w:val="00857E26"/>
    <w:rsid w:val="008C187A"/>
    <w:rsid w:val="008E6B96"/>
    <w:rsid w:val="009453E9"/>
    <w:rsid w:val="009645BD"/>
    <w:rsid w:val="00AC0A84"/>
    <w:rsid w:val="00B273A9"/>
    <w:rsid w:val="00B378B6"/>
    <w:rsid w:val="00B96DFC"/>
    <w:rsid w:val="00BA57ED"/>
    <w:rsid w:val="00BF2C68"/>
    <w:rsid w:val="00BF5788"/>
    <w:rsid w:val="00C20940"/>
    <w:rsid w:val="00C25FF0"/>
    <w:rsid w:val="00C54BCB"/>
    <w:rsid w:val="00C74A56"/>
    <w:rsid w:val="00C75D34"/>
    <w:rsid w:val="00CC43AA"/>
    <w:rsid w:val="00CC7F47"/>
    <w:rsid w:val="00CD3F84"/>
    <w:rsid w:val="00CE1A16"/>
    <w:rsid w:val="00D30309"/>
    <w:rsid w:val="00D518AB"/>
    <w:rsid w:val="00DF1BC5"/>
    <w:rsid w:val="00E03CB1"/>
    <w:rsid w:val="00E125AE"/>
    <w:rsid w:val="00E14AF2"/>
    <w:rsid w:val="00E602CD"/>
    <w:rsid w:val="00EA4B77"/>
    <w:rsid w:val="00EA540D"/>
    <w:rsid w:val="00EC501F"/>
    <w:rsid w:val="00EE0F98"/>
    <w:rsid w:val="00EE311B"/>
    <w:rsid w:val="00F2570A"/>
    <w:rsid w:val="00F512D5"/>
    <w:rsid w:val="00F821E4"/>
    <w:rsid w:val="00F85F77"/>
    <w:rsid w:val="00FC456D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5D5"/>
  <w15:docId w15:val="{9669E507-CA9B-49A0-A8D8-D9E708FE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22C7-057B-4C1A-A0D1-FFE717F0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40</cp:revision>
  <cp:lastPrinted>2020-06-02T11:07:00Z</cp:lastPrinted>
  <dcterms:created xsi:type="dcterms:W3CDTF">2019-12-01T18:07:00Z</dcterms:created>
  <dcterms:modified xsi:type="dcterms:W3CDTF">2020-06-02T11:11:00Z</dcterms:modified>
</cp:coreProperties>
</file>